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AB4F" w14:textId="57AADF98" w:rsidR="0054656E" w:rsidRPr="0083375A" w:rsidRDefault="0054656E" w:rsidP="008D682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83375A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Exemplu – Prag de </w:t>
      </w:r>
      <w:r w:rsidR="0083375A" w:rsidRPr="0083375A">
        <w:rPr>
          <w:rFonts w:ascii="Times New Roman" w:hAnsi="Times New Roman" w:cs="Times New Roman"/>
          <w:b/>
          <w:bCs/>
          <w:sz w:val="32"/>
          <w:szCs w:val="32"/>
          <w:lang w:val="ro-RO"/>
        </w:rPr>
        <w:t>semnificație</w:t>
      </w:r>
    </w:p>
    <w:p w14:paraId="26712E28" w14:textId="77777777" w:rsidR="0054656E" w:rsidRPr="0083375A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FE7BBFA" w14:textId="0FEBF53A" w:rsidR="0054656E" w:rsidRPr="0083375A" w:rsidRDefault="0083375A" w:rsidP="008D682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Informații</w:t>
      </w:r>
      <w:r w:rsidR="0054656E"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dosarul de audit. Planul de audit – </w:t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cunoașterea</w:t>
      </w:r>
      <w:r w:rsidR="0054656E"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clientului</w:t>
      </w:r>
    </w:p>
    <w:p w14:paraId="7823748E" w14:textId="77777777" w:rsidR="0054656E" w:rsidRPr="0083375A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033B6CD7" w14:textId="3A28211B" w:rsidR="0054656E" w:rsidRPr="0083375A" w:rsidRDefault="0054656E" w:rsidP="00872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Misiunea angajată este de </w:t>
      </w:r>
      <w:r w:rsidRPr="00805954">
        <w:rPr>
          <w:rFonts w:ascii="Times New Roman" w:hAnsi="Times New Roman" w:cs="Times New Roman"/>
          <w:sz w:val="24"/>
          <w:szCs w:val="24"/>
          <w:highlight w:val="green"/>
          <w:lang w:val="ro-RO"/>
        </w:rPr>
        <w:t>revizuire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situațiilor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financiare, societatea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neavând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obligația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de auditare. </w:t>
      </w:r>
    </w:p>
    <w:p w14:paraId="19CB3452" w14:textId="77777777" w:rsidR="0054656E" w:rsidRPr="0083375A" w:rsidRDefault="0054656E" w:rsidP="00872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Clientul este o societate este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închisӑ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( nu este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cotatӑ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bursӑ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), cu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acţionariatul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format din patru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din care cei doi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ce cumulează 80% fac parte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din top managementul firmei.</w:t>
      </w:r>
    </w:p>
    <w:p w14:paraId="23A2FAD2" w14:textId="77777777" w:rsidR="0054656E" w:rsidRPr="0083375A" w:rsidRDefault="0054656E" w:rsidP="00872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La momentul auditului nu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existӑ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credite contractate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nici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intenţia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se aplice pentru vreun credit.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doresc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pӑstreze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firma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închisӑ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, neavând motiv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fie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cotaţi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bursӑ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creascӑ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capitalul social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atrӑgând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alţi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sunt membrii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aceleiaşi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familii.</w:t>
      </w:r>
    </w:p>
    <w:p w14:paraId="3E7D0A47" w14:textId="77777777" w:rsidR="0054656E" w:rsidRPr="0083375A" w:rsidRDefault="0054656E" w:rsidP="00872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Cadrul de raportare este Ordinul 1802/2014. Nu există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legislaţie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specifică de reglementare.</w:t>
      </w:r>
    </w:p>
    <w:p w14:paraId="5E002447" w14:textId="77777777" w:rsidR="0054656E" w:rsidRPr="0083375A" w:rsidRDefault="0054656E" w:rsidP="00872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Anul acesta este pentru prima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datӑ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client firmei. În trecut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financiare au fost revizuite de o societate de audit care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aparţine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unui grup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multinaţional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raportul primit a fost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fӑrӑ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orice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observaţii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(nimic nu a atras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atenţia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auditorului/practicianului cum că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financiare ar fi denaturate semnificativ).</w:t>
      </w:r>
    </w:p>
    <w:p w14:paraId="467C9381" w14:textId="77777777" w:rsidR="0054656E" w:rsidRPr="0083375A" w:rsidRDefault="0054656E" w:rsidP="00872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Riscurile evaluate în faza de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cunoaştere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a clientului sunt mici.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Deşi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indicatorii sunt în scădere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de  anul anterior, societatea nu are probleme financiare.</w:t>
      </w:r>
    </w:p>
    <w:p w14:paraId="3433A24B" w14:textId="16760F01" w:rsidR="0054656E" w:rsidRPr="0083375A" w:rsidRDefault="0054656E" w:rsidP="00872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În fiecare an societatea repartizează 40% din profit către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acționari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, 20% către manageri, 20% către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salariați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20% păstrează pentru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investiții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BE5D656" w14:textId="1BAA9056" w:rsidR="0054656E" w:rsidRPr="0083375A" w:rsidRDefault="0054656E" w:rsidP="00872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Profitul este </w:t>
      </w:r>
      <w:proofErr w:type="spellStart"/>
      <w:r w:rsidRPr="0083375A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pricipalul</w:t>
      </w:r>
      <w:proofErr w:type="spellEnd"/>
      <w:r w:rsidRPr="0083375A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indicator</w:t>
      </w:r>
      <w:r w:rsidRPr="0083375A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monitorizat de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acţionariat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de management,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cel în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funcție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de care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salariații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evaluați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946A2F" w14:textId="77777777" w:rsidR="0054656E" w:rsidRPr="0083375A" w:rsidRDefault="0054656E" w:rsidP="0087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BA48A4" w14:textId="5FCB8B50" w:rsidR="0054656E" w:rsidRPr="0083375A" w:rsidRDefault="0054656E" w:rsidP="00872E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Pentru a putea calcula pragul de </w:t>
      </w:r>
      <w:r w:rsidR="0083375A" w:rsidRPr="0083375A">
        <w:rPr>
          <w:rFonts w:ascii="Times New Roman" w:hAnsi="Times New Roman" w:cs="Times New Roman"/>
          <w:sz w:val="24"/>
          <w:szCs w:val="24"/>
          <w:lang w:val="ro-RO"/>
        </w:rPr>
        <w:t>semnificație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, centralizarea indicatorilor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procentele aplicate lor este făcută mai jos:</w:t>
      </w:r>
    </w:p>
    <w:p w14:paraId="0A81A4EE" w14:textId="77777777" w:rsidR="0054656E" w:rsidRPr="0083375A" w:rsidRDefault="0054656E" w:rsidP="008D68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019" w:type="dxa"/>
        <w:tblInd w:w="-10" w:type="dxa"/>
        <w:tblLook w:val="04A0" w:firstRow="1" w:lastRow="0" w:firstColumn="1" w:lastColumn="0" w:noHBand="0" w:noVBand="1"/>
      </w:tblPr>
      <w:tblGrid>
        <w:gridCol w:w="4289"/>
        <w:gridCol w:w="1685"/>
        <w:gridCol w:w="1685"/>
        <w:gridCol w:w="1360"/>
      </w:tblGrid>
      <w:tr w:rsidR="003B15B4" w:rsidRPr="0083375A" w14:paraId="057AD692" w14:textId="0D482154" w:rsidTr="003B15B4">
        <w:trPr>
          <w:trHeight w:val="610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7C40" w14:textId="788384CC" w:rsidR="003B15B4" w:rsidRPr="0083375A" w:rsidRDefault="0083375A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Situații</w:t>
            </w:r>
            <w:r w:rsidR="003B15B4"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financiare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698AA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Anul curent  - </w:t>
            </w:r>
            <w:proofErr w:type="spellStart"/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Draft</w:t>
            </w:r>
            <w:proofErr w:type="spellEnd"/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7D83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Efectiv - anul anterior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33414D" w14:textId="566239D4" w:rsidR="003B15B4" w:rsidRPr="0083375A" w:rsidRDefault="0083375A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Variație</w:t>
            </w:r>
          </w:p>
        </w:tc>
      </w:tr>
      <w:tr w:rsidR="003B15B4" w:rsidRPr="0083375A" w14:paraId="56156B3D" w14:textId="005CD9C7" w:rsidTr="003B15B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6598F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69778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AC3E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B609E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3B15B4" w:rsidRPr="0083375A" w14:paraId="1A427648" w14:textId="06563F28" w:rsidTr="003B15B4">
        <w:trPr>
          <w:trHeight w:val="6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DD27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 totale (înainte de scăderea datoriilor)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3E5E0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49,653,593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B1DE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50,941,579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19465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3B15B4" w:rsidRPr="0083375A" w14:paraId="6A6696E2" w14:textId="5E66B675" w:rsidTr="003B15B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5977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CB47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496,536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1A3F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509,416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28271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3B15B4" w:rsidRPr="0083375A" w14:paraId="251A5F35" w14:textId="3502FE05" w:rsidTr="003B15B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75E8C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2A21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993,072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04D5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1,018,832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D7DEE8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3B15B4" w:rsidRPr="0083375A" w14:paraId="21EB75A6" w14:textId="4A8F42FF" w:rsidTr="003B15B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4998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Cifra de afaceri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4827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212,876,927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C46E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215,489,400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A0CDF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3B15B4" w:rsidRPr="0083375A" w14:paraId="6BB32A0C" w14:textId="1D9CB7DB" w:rsidTr="003B15B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28EF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4B8A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2,128,769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CA7D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2,154,894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461551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3B15B4" w:rsidRPr="0083375A" w14:paraId="16780839" w14:textId="3BAC8637" w:rsidTr="003B15B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10C50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3FF0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4,257,539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C317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4,309,788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5B1E3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  <w:tr w:rsidR="003B15B4" w:rsidRPr="0083375A" w14:paraId="2BA34BAE" w14:textId="43A63D5D" w:rsidTr="003B15B4">
        <w:trPr>
          <w:trHeight w:val="31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03565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Profit înainte de impozitare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307E" w14:textId="0146F893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38,900,654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3294" w14:textId="0AD46374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  <w:t>41,248,876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8CE1D7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GB"/>
              </w:rPr>
            </w:pPr>
          </w:p>
        </w:tc>
      </w:tr>
      <w:tr w:rsidR="003B15B4" w:rsidRPr="0083375A" w14:paraId="7509EFA6" w14:textId="46C0D2C4" w:rsidTr="003B15B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2BFA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E087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color w:val="000000"/>
                <w:lang w:val="ro-RO"/>
              </w:rPr>
              <w:t>1,945,033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5230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color w:val="000000"/>
                <w:lang w:val="ro-RO"/>
              </w:rPr>
              <w:t>2,062,444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284FD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3B15B4" w:rsidRPr="0083375A" w14:paraId="103FF455" w14:textId="5494CB4E" w:rsidTr="003B15B4">
        <w:trPr>
          <w:trHeight w:val="3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A8F2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10.00%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D0649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color w:val="000000"/>
                <w:lang w:val="ro-RO"/>
              </w:rPr>
              <w:t>3,890,065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6E519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color w:val="000000"/>
                <w:lang w:val="ro-RO"/>
              </w:rPr>
              <w:t>4,124,888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850AA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3B15B4" w:rsidRPr="0083375A" w14:paraId="0D0EA2E4" w14:textId="504B8816" w:rsidTr="003B15B4">
        <w:trPr>
          <w:trHeight w:val="620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2B49" w14:textId="77777777" w:rsidR="003B15B4" w:rsidRPr="0083375A" w:rsidRDefault="003B15B4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Prag de </w:t>
            </w:r>
            <w:proofErr w:type="spellStart"/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semnificaţie</w:t>
            </w:r>
            <w:proofErr w:type="spellEnd"/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- </w:t>
            </w:r>
            <w:r w:rsidRPr="00833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se </w:t>
            </w:r>
            <w:proofErr w:type="spellStart"/>
            <w:r w:rsidRPr="00833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completeaza</w:t>
            </w:r>
            <w:proofErr w:type="spellEnd"/>
            <w:r w:rsidRPr="00833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manual in urma </w:t>
            </w:r>
            <w:proofErr w:type="spellStart"/>
            <w:r w:rsidRPr="00833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completarii</w:t>
            </w:r>
            <w:proofErr w:type="spellEnd"/>
            <w:r w:rsidRPr="00833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</w:t>
            </w:r>
            <w:proofErr w:type="spellStart"/>
            <w:r w:rsidRPr="00833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>raţionamentului</w:t>
            </w:r>
            <w:proofErr w:type="spellEnd"/>
            <w:r w:rsidRPr="00833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en-GB"/>
              </w:rPr>
              <w:t xml:space="preserve"> profesional de către practician/auditor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25128" w14:textId="4341E971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49DE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0976B" w14:textId="77777777" w:rsidR="003B15B4" w:rsidRPr="0083375A" w:rsidRDefault="003B15B4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en-GB"/>
              </w:rPr>
            </w:pPr>
          </w:p>
        </w:tc>
      </w:tr>
    </w:tbl>
    <w:p w14:paraId="58799E4B" w14:textId="77777777" w:rsidR="008D6824" w:rsidRPr="0083375A" w:rsidRDefault="008D6824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2857CC" w14:textId="7E387F53" w:rsidR="0054656E" w:rsidRPr="0083375A" w:rsidRDefault="0054656E" w:rsidP="008D6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Argumentare prag de </w:t>
      </w:r>
      <w:proofErr w:type="spellStart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semnificaţie</w:t>
      </w:r>
      <w:proofErr w:type="spellEnd"/>
    </w:p>
    <w:p w14:paraId="4CBD047A" w14:textId="77777777" w:rsidR="0054656E" w:rsidRPr="0083375A" w:rsidRDefault="0054656E" w:rsidP="008D6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A618E38" w14:textId="77777777" w:rsidR="0054656E" w:rsidRPr="00B90BB7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În primul rând calculăm procentele din indicatorii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prezentaţi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constatăm că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indicatorii sunt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constanţi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Totuşi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atȃta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timp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cȃt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principalii utilizatori sunt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(care sunt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manageri)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ei sunt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interesaţi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în special în profit, considerăm că pragul de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ar trebui să se </w:t>
      </w:r>
      <w:r w:rsidRPr="00B90BB7">
        <w:rPr>
          <w:rFonts w:ascii="Times New Roman" w:hAnsi="Times New Roman" w:cs="Times New Roman"/>
          <w:b/>
          <w:bCs/>
          <w:sz w:val="24"/>
          <w:szCs w:val="24"/>
          <w:lang w:val="ro-RO"/>
        </w:rPr>
        <w:t>bazeze pe profit.</w:t>
      </w:r>
    </w:p>
    <w:p w14:paraId="5B99C246" w14:textId="4CBA88EC" w:rsidR="0054656E" w:rsidRPr="0083375A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Nefiind o misiune de audit, riscurile estimate fiind mici, anterior clientul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avȃnd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financiare revizuite de un alt practician care nu a găsit nimic de raportat privind o eventuală neconformitate,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majoritari fiind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manageri,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toţi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acţionarii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fi</w:t>
      </w:r>
      <w:r w:rsidR="008D6824" w:rsidRPr="0083375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nd o familie, societatea fiind închisă,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neexistȃnd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un creditor bancar interesat în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financiare, considerăm că se poate utiliza un prag de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pȃnă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la 10% din profit (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nu 5% cum un număr mare de auditori utilizează în misiunile de audit financiar).</w:t>
      </w:r>
    </w:p>
    <w:p w14:paraId="34BEDFA8" w14:textId="77777777" w:rsidR="0054656E" w:rsidRPr="0083375A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996FCE9" w14:textId="77777777" w:rsidR="0054656E" w:rsidRPr="0083375A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În urma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determinӑrii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pragului,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va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arӑta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aşa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071380E" w14:textId="77777777" w:rsidR="0054656E" w:rsidRPr="0083375A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28060E2" w14:textId="008BA8D0" w:rsidR="0054656E" w:rsidRPr="0083375A" w:rsidRDefault="0054656E" w:rsidP="008D682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321171E1" w14:textId="77777777" w:rsidR="0054656E" w:rsidRPr="0083375A" w:rsidRDefault="0054656E" w:rsidP="008D68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624A8BEB" w14:textId="77777777" w:rsidR="0054656E" w:rsidRPr="0083375A" w:rsidRDefault="0054656E" w:rsidP="008D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Misiune de revizuire a </w:t>
      </w:r>
      <w:proofErr w:type="spellStart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situatiilor</w:t>
      </w:r>
      <w:proofErr w:type="spellEnd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financiare</w:t>
      </w:r>
    </w:p>
    <w:p w14:paraId="60E6A5A3" w14:textId="77777777" w:rsidR="0054656E" w:rsidRPr="0083375A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Nume client: SC  Client   SRL</w:t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Ref</w:t>
      </w:r>
      <w:proofErr w:type="spellEnd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secţiune</w:t>
      </w:r>
      <w:proofErr w:type="spellEnd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dosar</w:t>
      </w:r>
    </w:p>
    <w:p w14:paraId="0B6D544E" w14:textId="4169F5C1" w:rsidR="0054656E" w:rsidRPr="0083375A" w:rsidRDefault="0054656E" w:rsidP="008D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ANUL 20</w:t>
      </w:r>
      <w:r w:rsidR="00AC0F1C">
        <w:rPr>
          <w:rFonts w:ascii="Times New Roman" w:hAnsi="Times New Roman" w:cs="Times New Roman"/>
          <w:b/>
          <w:sz w:val="24"/>
          <w:szCs w:val="24"/>
          <w:lang w:val="ro-RO"/>
        </w:rPr>
        <w:t>19</w:t>
      </w:r>
    </w:p>
    <w:p w14:paraId="7C47F200" w14:textId="32366BA3" w:rsidR="0054656E" w:rsidRPr="0083375A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Intocmit</w:t>
      </w:r>
      <w:proofErr w:type="spellEnd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de: </w:t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  <w:t>Ion</w:t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  <w:t>Revizuit de: Maria</w:t>
      </w:r>
    </w:p>
    <w:p w14:paraId="6F1BD6A5" w14:textId="12001AAA" w:rsidR="0054656E" w:rsidRPr="0083375A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</w:t>
      </w:r>
      <w:proofErr w:type="spellStart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intocmirii</w:t>
      </w:r>
      <w:proofErr w:type="spellEnd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: 15 martie 2020</w:t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ab/>
        <w:t>Data reviziei: 18 martie 2020</w:t>
      </w:r>
    </w:p>
    <w:p w14:paraId="1A066078" w14:textId="77777777" w:rsidR="0054656E" w:rsidRPr="0083375A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AF9E0F" w14:textId="77777777" w:rsidR="0054656E" w:rsidRPr="0083375A" w:rsidRDefault="0054656E" w:rsidP="008D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Determinarea pragului de </w:t>
      </w:r>
      <w:proofErr w:type="spellStart"/>
      <w:r w:rsidRPr="0083375A">
        <w:rPr>
          <w:rFonts w:ascii="Times New Roman" w:hAnsi="Times New Roman" w:cs="Times New Roman"/>
          <w:b/>
          <w:sz w:val="24"/>
          <w:szCs w:val="24"/>
          <w:lang w:val="ro-RO"/>
        </w:rPr>
        <w:t>semnificaţie</w:t>
      </w:r>
      <w:proofErr w:type="spellEnd"/>
    </w:p>
    <w:p w14:paraId="494F5D58" w14:textId="77777777" w:rsidR="0054656E" w:rsidRPr="0083375A" w:rsidRDefault="0054656E" w:rsidP="008D6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019" w:type="dxa"/>
        <w:tblInd w:w="-10" w:type="dxa"/>
        <w:tblLook w:val="04A0" w:firstRow="1" w:lastRow="0" w:firstColumn="1" w:lastColumn="0" w:noHBand="0" w:noVBand="1"/>
      </w:tblPr>
      <w:tblGrid>
        <w:gridCol w:w="4044"/>
        <w:gridCol w:w="1746"/>
        <w:gridCol w:w="1746"/>
        <w:gridCol w:w="1483"/>
      </w:tblGrid>
      <w:tr w:rsidR="00F87B4D" w:rsidRPr="0083375A" w14:paraId="7885E263" w14:textId="36A71669" w:rsidTr="00F87B4D">
        <w:trPr>
          <w:trHeight w:val="610"/>
        </w:trPr>
        <w:tc>
          <w:tcPr>
            <w:tcW w:w="4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CE625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Situaţii</w:t>
            </w:r>
            <w:proofErr w:type="spellEnd"/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financiare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D682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Anul curent  - </w:t>
            </w:r>
            <w:proofErr w:type="spellStart"/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Draft</w:t>
            </w:r>
            <w:proofErr w:type="spellEnd"/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147D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Efectiv - anul anterior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139A35" w14:textId="3F0A24B0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proofErr w:type="spellStart"/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Varitie</w:t>
            </w:r>
            <w:proofErr w:type="spellEnd"/>
          </w:p>
        </w:tc>
      </w:tr>
      <w:tr w:rsidR="00F87B4D" w:rsidRPr="0083375A" w14:paraId="423CC90F" w14:textId="620FA87C" w:rsidTr="00F87B4D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AEE38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B6BB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FC59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lei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F96F5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53305616" w14:textId="0A0EFCCA" w:rsidTr="00F87B4D">
        <w:trPr>
          <w:trHeight w:val="6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1F6A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Active totale (înainte de scăderea datoriilor)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EC9E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49,653,593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92B55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50,941,579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4854E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7604FFE5" w14:textId="547AFCD1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6DBA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22FC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496,536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C9AF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509,416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1C4F5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71325D32" w14:textId="2F2D951D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F7FE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923C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993,072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BBCC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1,018,832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BE5686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33C19128" w14:textId="5B0A161D" w:rsidTr="00F87B4D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2A12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Cifra de afaceri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C562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212,876,927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406E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215,489,400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F42A9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01D0ED56" w14:textId="57AD1BFE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732A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DE9B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2,128,769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E408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2,154,894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7CDDF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62A871EB" w14:textId="57419B62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BB55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2.00%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8379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4,257,539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9065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4,309,788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F2E15C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63094EDB" w14:textId="22BC4956" w:rsidTr="00F87B4D">
        <w:trPr>
          <w:trHeight w:val="31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2E8B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Profit înainte de impozitare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7319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38,900,654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4F70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41,248,876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562396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0AD19313" w14:textId="7FA005EF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31939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5.00%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8E9B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1,945,033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A7D31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2,062,444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096DD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87B4D" w:rsidRPr="0083375A" w14:paraId="33B69252" w14:textId="4C786BA2" w:rsidTr="00F87B4D">
        <w:trPr>
          <w:trHeight w:val="3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0450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10.00%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44AF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3,890,065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5BC53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4,124,888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60D67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F87B4D" w:rsidRPr="0083375A" w14:paraId="18B4BC10" w14:textId="42FD034E" w:rsidTr="00F87B4D">
        <w:trPr>
          <w:trHeight w:val="620"/>
        </w:trPr>
        <w:tc>
          <w:tcPr>
            <w:tcW w:w="4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2947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Prag de </w:t>
            </w:r>
            <w:proofErr w:type="spellStart"/>
            <w:r w:rsidRPr="0083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semnificaţie</w:t>
            </w:r>
            <w:proofErr w:type="spellEnd"/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92A8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3,890,000 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B3FA0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74ADD6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46944471" w14:textId="3A3DD72A" w:rsidTr="00F87B4D">
        <w:trPr>
          <w:trHeight w:val="620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6A9B" w14:textId="77777777" w:rsidR="00F87B4D" w:rsidRPr="0083375A" w:rsidRDefault="00F87B4D" w:rsidP="008D6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Nefiind o misiune de audit, riscurile estimate fiind mici, anterior clientul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avȃnd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situaţiile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financiare revizuite de un alt practician care nu a găsit nimic de raportat privind o eventuală neconformitate,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acţionarii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majoritari fiind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manageri,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acţionarii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find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familie, societatea fiind închisă,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neexistȃnd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creditor bancar interesat în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situaţiile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financiare, considerăm că se poate utiliza un prag de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semnificaţie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pȃnă</w:t>
            </w:r>
            <w:proofErr w:type="spellEnd"/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10% din profit.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B05F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1436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9CD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F87B4D" w:rsidRPr="0083375A" w14:paraId="6F9E4804" w14:textId="12DA5B9F" w:rsidTr="00F87B4D">
        <w:trPr>
          <w:trHeight w:val="620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8150" w14:textId="77777777" w:rsidR="00F87B4D" w:rsidRPr="0083375A" w:rsidRDefault="00F87B4D" w:rsidP="008D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3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Eroare trivială – 5% din prag ( sau dacă managementul cere altă valoare, se utilizează aceea).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A0DE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  <w:r w:rsidRPr="0083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  <w:t>194,500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5771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6D6" w14:textId="77777777" w:rsidR="00F87B4D" w:rsidRPr="0083375A" w:rsidRDefault="00F87B4D" w:rsidP="008D68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</w:tbl>
    <w:p w14:paraId="263DA39C" w14:textId="77777777" w:rsidR="0054656E" w:rsidRPr="0083375A" w:rsidRDefault="0054656E" w:rsidP="008D6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BA6FB7" w14:textId="77777777" w:rsidR="0054656E" w:rsidRPr="0083375A" w:rsidRDefault="0054656E" w:rsidP="008D68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În cazul misiunilor de revizuire pragul de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semnificaţie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trebuie revizuit la finalul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misunii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oridecȃte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ori este considerat necesar (spre exemplu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cȃnd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se identifică denaturări semnificative)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 xml:space="preserve"> ajustat în </w:t>
      </w:r>
      <w:proofErr w:type="spellStart"/>
      <w:r w:rsidRPr="0083375A">
        <w:rPr>
          <w:rFonts w:ascii="Times New Roman" w:hAnsi="Times New Roman" w:cs="Times New Roman"/>
          <w:sz w:val="24"/>
          <w:szCs w:val="24"/>
          <w:lang w:val="ro-RO"/>
        </w:rPr>
        <w:t>consecinţă</w:t>
      </w:r>
      <w:proofErr w:type="spellEnd"/>
      <w:r w:rsidRPr="0083375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5C835D" w14:textId="77777777" w:rsidR="0054656E" w:rsidRPr="0083375A" w:rsidRDefault="0054656E" w:rsidP="008D6824">
      <w:pPr>
        <w:rPr>
          <w:lang w:val="ro-RO"/>
        </w:rPr>
      </w:pPr>
    </w:p>
    <w:p w14:paraId="0A912ACA" w14:textId="77777777" w:rsidR="00951D27" w:rsidRPr="0083375A" w:rsidRDefault="00951D27" w:rsidP="008D6824">
      <w:pPr>
        <w:rPr>
          <w:lang w:val="ro-RO"/>
        </w:rPr>
      </w:pPr>
    </w:p>
    <w:sectPr w:rsidR="00951D27" w:rsidRPr="0083375A" w:rsidSect="00A926A1">
      <w:foot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8C69" w14:textId="77777777" w:rsidR="00506E98" w:rsidRDefault="00506E98" w:rsidP="0054656E">
      <w:pPr>
        <w:spacing w:after="0" w:line="240" w:lineRule="auto"/>
      </w:pPr>
      <w:r>
        <w:separator/>
      </w:r>
    </w:p>
  </w:endnote>
  <w:endnote w:type="continuationSeparator" w:id="0">
    <w:p w14:paraId="50F7175B" w14:textId="77777777" w:rsidR="00506E98" w:rsidRDefault="00506E98" w:rsidP="005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293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0DF3C" w14:textId="336DD155" w:rsidR="0054656E" w:rsidRDefault="00546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D1909" w14:textId="77777777" w:rsidR="0054656E" w:rsidRDefault="00546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8ADF" w14:textId="77777777" w:rsidR="00506E98" w:rsidRDefault="00506E98" w:rsidP="0054656E">
      <w:pPr>
        <w:spacing w:after="0" w:line="240" w:lineRule="auto"/>
      </w:pPr>
      <w:r>
        <w:separator/>
      </w:r>
    </w:p>
  </w:footnote>
  <w:footnote w:type="continuationSeparator" w:id="0">
    <w:p w14:paraId="1A722524" w14:textId="77777777" w:rsidR="00506E98" w:rsidRDefault="00506E98" w:rsidP="00546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wMzYxNTY3MzA3MTdU0lEKTi0uzszPAykwqgUA6eKs3SwAAAA="/>
  </w:docVars>
  <w:rsids>
    <w:rsidRoot w:val="0054656E"/>
    <w:rsid w:val="00004AB2"/>
    <w:rsid w:val="0004739F"/>
    <w:rsid w:val="000A7D33"/>
    <w:rsid w:val="000F273A"/>
    <w:rsid w:val="00187EA5"/>
    <w:rsid w:val="002F39DF"/>
    <w:rsid w:val="003B15B4"/>
    <w:rsid w:val="004A714A"/>
    <w:rsid w:val="004B6B33"/>
    <w:rsid w:val="00506E98"/>
    <w:rsid w:val="0054656E"/>
    <w:rsid w:val="00561B81"/>
    <w:rsid w:val="0060362F"/>
    <w:rsid w:val="007F0004"/>
    <w:rsid w:val="00805954"/>
    <w:rsid w:val="0083375A"/>
    <w:rsid w:val="00872EFF"/>
    <w:rsid w:val="008A5E48"/>
    <w:rsid w:val="008D6824"/>
    <w:rsid w:val="00913CF4"/>
    <w:rsid w:val="00951D27"/>
    <w:rsid w:val="009B4A2A"/>
    <w:rsid w:val="00AC0F1C"/>
    <w:rsid w:val="00B03991"/>
    <w:rsid w:val="00B51DCB"/>
    <w:rsid w:val="00B90BB7"/>
    <w:rsid w:val="00B943A2"/>
    <w:rsid w:val="00BE1FA7"/>
    <w:rsid w:val="00DB2E1B"/>
    <w:rsid w:val="00EA3278"/>
    <w:rsid w:val="00EE2AE7"/>
    <w:rsid w:val="00F8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6CAB"/>
  <w15:chartTrackingRefBased/>
  <w15:docId w15:val="{34B8291C-07FD-4DE9-B70C-AEB47152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Paunescu</dc:creator>
  <cp:keywords/>
  <dc:description/>
  <cp:lastModifiedBy>ELENA MITA</cp:lastModifiedBy>
  <cp:revision>13</cp:revision>
  <dcterms:created xsi:type="dcterms:W3CDTF">2020-07-03T22:52:00Z</dcterms:created>
  <dcterms:modified xsi:type="dcterms:W3CDTF">2025-07-08T15:00:00Z</dcterms:modified>
</cp:coreProperties>
</file>